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73" w:rsidRDefault="00526173" w:rsidP="00526173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</w:t>
      </w:r>
    </w:p>
    <w:p w:rsidR="00526173" w:rsidRDefault="00526173" w:rsidP="00526173">
      <w:pPr>
        <w:jc w:val="both"/>
        <w:rPr>
          <w:rFonts w:ascii="Tahoma" w:hAnsi="Tahoma" w:cs="Tahoma"/>
        </w:rPr>
      </w:pPr>
    </w:p>
    <w:p w:rsidR="00526173" w:rsidRDefault="00526173" w:rsidP="00526173">
      <w:pPr>
        <w:jc w:val="both"/>
        <w:rPr>
          <w:rFonts w:ascii="Tahoma" w:hAnsi="Tahoma" w:cs="Tahoma"/>
        </w:rPr>
      </w:pPr>
    </w:p>
    <w:p w:rsidR="00526173" w:rsidRDefault="00526173" w:rsidP="00526173">
      <w:pPr>
        <w:jc w:val="both"/>
        <w:rPr>
          <w:rFonts w:ascii="Tahoma" w:hAnsi="Tahoma" w:cs="Tahoma"/>
        </w:rPr>
      </w:pPr>
    </w:p>
    <w:p w:rsidR="00526173" w:rsidRDefault="00526173" w:rsidP="00526173"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526173" w:rsidRDefault="00526173" w:rsidP="00526173">
      <w:pPr>
        <w:ind w:left="708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526173" w:rsidRDefault="00526173" w:rsidP="00526173">
      <w:pPr>
        <w:ind w:left="7088"/>
        <w:jc w:val="center"/>
        <w:rPr>
          <w:rFonts w:ascii="Tahoma" w:hAnsi="Tahoma" w:cs="Tahoma"/>
        </w:rPr>
      </w:pPr>
    </w:p>
    <w:p w:rsidR="00526173" w:rsidRDefault="00526173" w:rsidP="00526173">
      <w:pPr>
        <w:ind w:left="7088"/>
        <w:jc w:val="center"/>
        <w:rPr>
          <w:rFonts w:ascii="Tahoma" w:hAnsi="Tahoma" w:cs="Tahoma"/>
        </w:rPr>
      </w:pPr>
    </w:p>
    <w:p w:rsidR="00526173" w:rsidRDefault="00526173" w:rsidP="00526173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 xml:space="preserve">   Wykonawca/ Wykonawcy wspólnie ubiegający się o udzielenie zamówienia*</w:t>
      </w:r>
    </w:p>
    <w:p w:rsidR="00526173" w:rsidRDefault="00526173" w:rsidP="00526173">
      <w:pPr>
        <w:ind w:right="6803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526173" w:rsidRDefault="00526173" w:rsidP="00526173">
      <w:pPr>
        <w:ind w:right="6803"/>
        <w:rPr>
          <w:rFonts w:ascii="Tahoma" w:hAnsi="Tahoma" w:cs="Tahoma"/>
        </w:rPr>
      </w:pPr>
    </w:p>
    <w:p w:rsidR="00526173" w:rsidRDefault="00526173" w:rsidP="00526173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Nazwa:…………………………………………………………………………………..</w:t>
      </w:r>
    </w:p>
    <w:p w:rsidR="00526173" w:rsidRDefault="00526173" w:rsidP="00526173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……………………………………………………………………………………………..</w:t>
      </w:r>
    </w:p>
    <w:p w:rsidR="00526173" w:rsidRDefault="00526173" w:rsidP="00526173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526173" w:rsidRDefault="00526173" w:rsidP="00526173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526173" w:rsidRDefault="00526173" w:rsidP="00526173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Województwo:……………………………………………………………………….</w:t>
      </w:r>
    </w:p>
    <w:p w:rsidR="00526173" w:rsidRDefault="00526173" w:rsidP="00526173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Miejscowość:…………………………………………………………………………</w:t>
      </w:r>
    </w:p>
    <w:p w:rsidR="00526173" w:rsidRDefault="00526173" w:rsidP="00526173">
      <w:pPr>
        <w:spacing w:line="360" w:lineRule="auto"/>
        <w:ind w:right="-113"/>
        <w:rPr>
          <w:rFonts w:ascii="Tahoma" w:hAnsi="Tahoma" w:cs="Tahoma"/>
        </w:rPr>
      </w:pPr>
      <w:r>
        <w:rPr>
          <w:rFonts w:ascii="Tahoma" w:hAnsi="Tahoma" w:cs="Tahoma"/>
        </w:rPr>
        <w:t>Kod pocztowy:………………………………………………………………………</w:t>
      </w:r>
    </w:p>
    <w:p w:rsidR="00526173" w:rsidRDefault="00526173" w:rsidP="00526173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Kraj:……………………………………………………………………………………..</w:t>
      </w:r>
    </w:p>
    <w:p w:rsidR="00526173" w:rsidRDefault="00526173" w:rsidP="00526173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Adres pocztowy </w:t>
      </w:r>
      <w:r>
        <w:rPr>
          <w:rFonts w:ascii="Tahoma" w:hAnsi="Tahoma" w:cs="Tahoma"/>
          <w:sz w:val="14"/>
          <w:szCs w:val="14"/>
        </w:rPr>
        <w:t xml:space="preserve">(ulic, nr domu i lokalu):  </w:t>
      </w:r>
      <w:r>
        <w:rPr>
          <w:rFonts w:ascii="Tahoma" w:hAnsi="Tahoma" w:cs="Tahoma"/>
        </w:rPr>
        <w:t>……………………………………………</w:t>
      </w:r>
    </w:p>
    <w:p w:rsidR="00526173" w:rsidRPr="004D04D4" w:rsidRDefault="00526173" w:rsidP="00526173">
      <w:pPr>
        <w:spacing w:line="360" w:lineRule="auto"/>
        <w:ind w:right="6803"/>
        <w:rPr>
          <w:rFonts w:ascii="Tahoma" w:hAnsi="Tahoma" w:cs="Tahoma"/>
        </w:rPr>
      </w:pPr>
      <w:r w:rsidRPr="004D04D4">
        <w:rPr>
          <w:rFonts w:ascii="Tahoma" w:hAnsi="Tahoma" w:cs="Tahoma"/>
        </w:rPr>
        <w:t>Tel.:………………………………………..</w:t>
      </w:r>
    </w:p>
    <w:p w:rsidR="00526173" w:rsidRPr="004D04D4" w:rsidRDefault="00526173" w:rsidP="00526173">
      <w:pPr>
        <w:spacing w:line="360" w:lineRule="auto"/>
        <w:ind w:right="6803"/>
        <w:rPr>
          <w:rFonts w:ascii="Tahoma" w:hAnsi="Tahoma" w:cs="Tahoma"/>
        </w:rPr>
      </w:pPr>
      <w:r w:rsidRPr="004D04D4">
        <w:rPr>
          <w:rFonts w:ascii="Tahoma" w:hAnsi="Tahoma" w:cs="Tahoma"/>
        </w:rPr>
        <w:t>Fax:………………………………………..</w:t>
      </w:r>
    </w:p>
    <w:p w:rsidR="00526173" w:rsidRPr="004D04D4" w:rsidRDefault="00526173" w:rsidP="00526173">
      <w:pPr>
        <w:ind w:right="6803"/>
        <w:rPr>
          <w:rFonts w:ascii="Tahoma" w:hAnsi="Tahoma" w:cs="Tahoma"/>
        </w:rPr>
      </w:pPr>
      <w:r w:rsidRPr="004D04D4">
        <w:rPr>
          <w:rFonts w:ascii="Tahoma" w:hAnsi="Tahoma" w:cs="Tahoma"/>
        </w:rPr>
        <w:t>e-mail: ………………………………...</w:t>
      </w:r>
    </w:p>
    <w:p w:rsidR="00526173" w:rsidRPr="004D04D4" w:rsidRDefault="00526173" w:rsidP="00526173">
      <w:pPr>
        <w:jc w:val="both"/>
        <w:rPr>
          <w:rFonts w:ascii="Tahoma" w:hAnsi="Tahoma" w:cs="Tahoma"/>
        </w:rPr>
      </w:pPr>
    </w:p>
    <w:p w:rsidR="00526173" w:rsidRPr="004D04D4" w:rsidRDefault="00526173" w:rsidP="00526173">
      <w:pPr>
        <w:jc w:val="both"/>
        <w:rPr>
          <w:rFonts w:ascii="Tahoma" w:hAnsi="Tahoma" w:cs="Tahoma"/>
        </w:rPr>
      </w:pPr>
    </w:p>
    <w:p w:rsidR="00526173" w:rsidRPr="00BD1C67" w:rsidRDefault="00526173" w:rsidP="00526173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color w:val="000000" w:themeColor="text1"/>
        </w:rPr>
      </w:pPr>
      <w:r w:rsidRPr="00BD1C67">
        <w:rPr>
          <w:rFonts w:ascii="Tahoma" w:hAnsi="Tahoma" w:cs="Tahoma"/>
          <w:b/>
          <w:color w:val="000000" w:themeColor="text1"/>
        </w:rPr>
        <w:t>Zarząd Powiatu Mikołowskiego z siedzibą:</w:t>
      </w:r>
    </w:p>
    <w:p w:rsidR="00526173" w:rsidRPr="00BD1C67" w:rsidRDefault="00526173" w:rsidP="00526173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color w:val="000000" w:themeColor="text1"/>
        </w:rPr>
      </w:pPr>
      <w:r w:rsidRPr="00BD1C67">
        <w:rPr>
          <w:rFonts w:ascii="Tahoma" w:hAnsi="Tahoma" w:cs="Tahoma"/>
          <w:b/>
          <w:color w:val="000000" w:themeColor="text1"/>
        </w:rPr>
        <w:t>ul. Żwirki i Wigury 4a</w:t>
      </w:r>
    </w:p>
    <w:p w:rsidR="00526173" w:rsidRPr="00BD1C67" w:rsidRDefault="00526173" w:rsidP="00526173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color w:val="000000" w:themeColor="text1"/>
        </w:rPr>
      </w:pPr>
      <w:r w:rsidRPr="00BD1C67">
        <w:rPr>
          <w:rFonts w:ascii="Tahoma" w:hAnsi="Tahoma" w:cs="Tahoma"/>
          <w:b/>
          <w:color w:val="000000" w:themeColor="text1"/>
        </w:rPr>
        <w:t>43-190 Mikołów</w:t>
      </w:r>
    </w:p>
    <w:p w:rsidR="00526173" w:rsidRDefault="00526173" w:rsidP="00526173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526173" w:rsidRDefault="00526173" w:rsidP="00526173">
      <w:pPr>
        <w:jc w:val="both"/>
        <w:rPr>
          <w:rFonts w:ascii="Tahoma" w:hAnsi="Tahoma" w:cs="Tahoma"/>
        </w:rPr>
      </w:pPr>
    </w:p>
    <w:p w:rsidR="00526173" w:rsidRDefault="00526173" w:rsidP="00526173">
      <w:pPr>
        <w:ind w:lef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F E R TA</w:t>
      </w:r>
    </w:p>
    <w:p w:rsidR="00526173" w:rsidRDefault="00526173" w:rsidP="005261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Przystępując do przetargu na </w:t>
      </w:r>
      <w:r>
        <w:rPr>
          <w:rFonts w:ascii="Tahoma" w:hAnsi="Tahoma" w:cs="Tahoma"/>
          <w:b/>
          <w:i/>
        </w:rPr>
        <w:t xml:space="preserve">UBEZPIECZENIE MIENIA I ODPOWIEDZIALNOŚCI POWIATU MIKOŁOWSKIEGO WRAZ Z JEDNOSTKAMI PODLEGŁYMI </w:t>
      </w:r>
      <w:r>
        <w:rPr>
          <w:rFonts w:ascii="Tahoma" w:hAnsi="Tahoma" w:cs="Tahoma"/>
        </w:rPr>
        <w:t>zgodnie ze SIWZ, oferujemy wykonanie zamówienia na następujących warunkach:</w:t>
      </w:r>
    </w:p>
    <w:p w:rsidR="00526173" w:rsidRDefault="00526173" w:rsidP="00526173">
      <w:pPr>
        <w:jc w:val="both"/>
        <w:rPr>
          <w:rFonts w:ascii="Tahoma" w:hAnsi="Tahoma" w:cs="Tahoma"/>
        </w:rPr>
      </w:pPr>
    </w:p>
    <w:p w:rsidR="00526173" w:rsidRDefault="00526173" w:rsidP="0052617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526173" w:rsidRDefault="00526173" w:rsidP="00526173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526173" w:rsidRDefault="00526173" w:rsidP="005261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ubezpieczenia majątkowe: od 01.06.2020 r. do 31.05.2023 r.</w:t>
      </w:r>
    </w:p>
    <w:p w:rsidR="00526173" w:rsidRDefault="00526173" w:rsidP="00526173">
      <w:pPr>
        <w:tabs>
          <w:tab w:val="left" w:pos="360"/>
          <w:tab w:val="left" w:pos="928"/>
        </w:tabs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Cena łączna: </w:t>
      </w:r>
      <w:r>
        <w:rPr>
          <w:rFonts w:ascii="Tahoma" w:hAnsi="Tahoma" w:cs="Tahoma"/>
          <w:b/>
        </w:rPr>
        <w:tab/>
        <w:t xml:space="preserve">……………………… zł </w:t>
      </w: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</w:rPr>
        <w:t xml:space="preserve">I. Akceptujemy </w:t>
      </w:r>
      <w:r>
        <w:rPr>
          <w:rFonts w:ascii="Tahoma" w:hAnsi="Tahoma" w:cs="Tahoma"/>
          <w:b/>
        </w:rPr>
        <w:t>następujące klauzule obligatoryjne:</w:t>
      </w:r>
    </w:p>
    <w:p w:rsidR="00526173" w:rsidRDefault="00526173" w:rsidP="00526173">
      <w:pPr>
        <w:ind w:left="60"/>
        <w:jc w:val="both"/>
        <w:rPr>
          <w:rFonts w:ascii="Tahoma" w:hAnsi="Tahoma" w:cs="Tahoma"/>
          <w:b/>
        </w:rPr>
      </w:pPr>
    </w:p>
    <w:tbl>
      <w:tblPr>
        <w:tblW w:w="9406" w:type="dxa"/>
        <w:jc w:val="center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002"/>
        <w:gridCol w:w="5744"/>
        <w:gridCol w:w="2660"/>
      </w:tblGrid>
      <w:tr w:rsidR="00526173" w:rsidTr="00697674">
        <w:trPr>
          <w:trHeight w:val="48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</w:t>
            </w:r>
          </w:p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 w:rsidRPr="00306382">
              <w:rPr>
                <w:rFonts w:ascii="Tahoma" w:hAnsi="Tahoma" w:cs="Tahoma"/>
                <w:b/>
                <w:sz w:val="18"/>
                <w:szCs w:val="18"/>
              </w:rPr>
              <w:t>TAK/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NIE*</w:t>
            </w:r>
          </w:p>
        </w:tc>
      </w:tr>
      <w:tr w:rsidR="00526173" w:rsidTr="00697674">
        <w:trPr>
          <w:trHeight w:val="413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reprezentantów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11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odstąpienia od prawa do regresu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11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przewłaszczenia mienia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8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płatności rat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8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likwidacyjna w sprzęcie elektronicznym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375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automatycznego pokrycia w sprzęcie elektronicznym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25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automatycznego pokrycia w środkach trwałych i wyposażeniu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likwidacyjna dotycząca środków trwałych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szybkiej likwidacji szkód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niezawiadomienia w terminie o szkodzie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przezornej sumy ubezpieczenia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ochrony mienia nieprzygotowanego do pracy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kosztów odtworzenia dokumentów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warunków i taryf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awarii instalacji lub urządzeń technologicznych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zabezpieczeń przeciwpożarowych i przeciw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306382">
              <w:rPr>
                <w:rFonts w:ascii="Tahoma" w:hAnsi="Tahoma" w:cs="Tahoma"/>
                <w:bCs/>
              </w:rPr>
              <w:t>kradzieżowych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rzeczoznawców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zmian w odbudowie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 xml:space="preserve">Klauzula zmiany lokalizacji w odbudowie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akceptacji zmiany wartości mienia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21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 xml:space="preserve">Klauzula zgłaszania szkód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22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miejsca ubezpieczenia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ochrony mienia wyłączonego z eksploatacji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likwidacji drobnych szkód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25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czasu ochrony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26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  <w:color w:val="000000"/>
              </w:rPr>
              <w:t>Klauzula ubezpieczenia dodatkowych kosztów związanych ze szkodą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27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usunięcia pozostałości po szkodzie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28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  <w:color w:val="000000"/>
              </w:rPr>
              <w:t>Klauzula wypowiedzenia umowy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P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26173">
              <w:rPr>
                <w:rFonts w:ascii="Tahoma" w:hAnsi="Tahoma" w:cs="Tahoma"/>
                <w:color w:val="000000" w:themeColor="text1"/>
              </w:rPr>
              <w:t>29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526173" w:rsidRDefault="00526173" w:rsidP="00697674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 w:rsidRPr="00526173">
              <w:rPr>
                <w:rStyle w:val="Pogrubienie"/>
                <w:rFonts w:ascii="Tahoma" w:hAnsi="Tahoma" w:cs="Tahoma"/>
                <w:b w:val="0"/>
              </w:rPr>
              <w:t xml:space="preserve">Klauzula </w:t>
            </w:r>
            <w:proofErr w:type="spellStart"/>
            <w:r w:rsidRPr="00526173">
              <w:rPr>
                <w:rStyle w:val="Pogrubienie"/>
                <w:rFonts w:ascii="Tahoma" w:hAnsi="Tahoma" w:cs="Tahoma"/>
                <w:b w:val="0"/>
              </w:rPr>
              <w:t>zalaniowa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przywrócenia sumy ubezpieczenia po szkodzie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  <w:color w:val="000000"/>
              </w:rPr>
              <w:t xml:space="preserve">Klauzula szkód mechanicznych </w:t>
            </w:r>
            <w:r w:rsidRPr="00306382">
              <w:rPr>
                <w:rFonts w:ascii="Tahoma" w:hAnsi="Tahoma" w:cs="Tahoma"/>
                <w:bCs/>
                <w:color w:val="FF0000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32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  <w:shd w:val="clear" w:color="auto" w:fill="FFFFFF"/>
              </w:rPr>
              <w:t>Klauzula ubezpieczenia szkód elektrycznych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33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katastrofy budowlanej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34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Pr="00306382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 w:rsidRPr="00306382">
              <w:rPr>
                <w:rFonts w:ascii="Tahoma" w:hAnsi="Tahoma" w:cs="Tahoma"/>
                <w:bCs/>
              </w:rPr>
              <w:t>Klauzula ubezpieczenia prac budowlano-montażowych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Pr="00BD1C67" w:rsidRDefault="00526173" w:rsidP="00526173">
      <w:pPr>
        <w:ind w:left="60"/>
        <w:jc w:val="both"/>
        <w:rPr>
          <w:rFonts w:ascii="Tahoma" w:hAnsi="Tahoma"/>
          <w:b/>
          <w:bCs/>
          <w:color w:val="000000" w:themeColor="text1"/>
          <w:sz w:val="18"/>
          <w:szCs w:val="18"/>
        </w:rPr>
      </w:pPr>
      <w:r w:rsidRPr="00BD1C67">
        <w:rPr>
          <w:rFonts w:ascii="Tahoma" w:hAnsi="Tahoma"/>
          <w:b/>
          <w:bCs/>
          <w:color w:val="000000" w:themeColor="text1"/>
          <w:position w:val="-4"/>
          <w:sz w:val="18"/>
          <w:szCs w:val="18"/>
        </w:rPr>
        <w:t>*W przypadku braku zapisu „TAK” lub wpisanie słowa „NIE” przy danej klauzuli Zamawiający uzna, że dana klauzula nie została zaakceptowana w ofercie przez Wykonawcę, co spowoduje odrzucenie oferty Wykonawcy.</w:t>
      </w:r>
    </w:p>
    <w:p w:rsidR="00526173" w:rsidRPr="00DB1A02" w:rsidRDefault="00526173" w:rsidP="00526173">
      <w:pPr>
        <w:jc w:val="both"/>
        <w:rPr>
          <w:rFonts w:ascii="Tahoma" w:hAnsi="Tahoma" w:cs="Tahoma"/>
          <w:b/>
          <w:bCs/>
          <w:color w:val="00B050"/>
        </w:rPr>
      </w:pPr>
    </w:p>
    <w:p w:rsidR="00526173" w:rsidRDefault="00526173" w:rsidP="0052617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UWAGA:</w:t>
      </w:r>
    </w:p>
    <w:p w:rsidR="00526173" w:rsidRDefault="00526173" w:rsidP="0052617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Brak zgody na włączenie do zakresu ubezpieczenia bądź zmiana treści którejkolwiek </w:t>
      </w:r>
      <w:r>
        <w:rPr>
          <w:rFonts w:ascii="Tahoma" w:hAnsi="Tahoma" w:cs="Tahoma"/>
          <w:b/>
          <w:bCs/>
        </w:rPr>
        <w:br/>
        <w:t xml:space="preserve">z klauzul oznaczonych numerami </w:t>
      </w:r>
      <w:r>
        <w:rPr>
          <w:rFonts w:ascii="Tahoma" w:hAnsi="Tahoma" w:cs="Tahoma"/>
          <w:b/>
          <w:bCs/>
          <w:color w:val="000000" w:themeColor="text1"/>
        </w:rPr>
        <w:t xml:space="preserve">od 1 do 34 spowoduje </w:t>
      </w:r>
      <w:r>
        <w:rPr>
          <w:rFonts w:ascii="Tahoma" w:hAnsi="Tahoma" w:cs="Tahoma"/>
          <w:b/>
          <w:bCs/>
        </w:rPr>
        <w:t>odrzucenie oferty.</w:t>
      </w:r>
    </w:p>
    <w:p w:rsidR="00526173" w:rsidRDefault="00526173" w:rsidP="00526173">
      <w:pPr>
        <w:rPr>
          <w:rFonts w:ascii="Tahoma" w:hAnsi="Tahoma" w:cs="Tahoma"/>
          <w:color w:val="000000" w:themeColor="text1"/>
        </w:rPr>
      </w:pPr>
    </w:p>
    <w:p w:rsidR="00526173" w:rsidRDefault="00526173" w:rsidP="00526173"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</w:rPr>
        <w:t xml:space="preserve">II. Akceptujemy </w:t>
      </w:r>
      <w:r>
        <w:rPr>
          <w:rFonts w:ascii="Tahoma" w:hAnsi="Tahoma" w:cs="Tahoma"/>
          <w:b/>
        </w:rPr>
        <w:t xml:space="preserve">następujące klauzule fakultatywne </w:t>
      </w:r>
    </w:p>
    <w:tbl>
      <w:tblPr>
        <w:tblW w:w="9406" w:type="dxa"/>
        <w:jc w:val="center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002"/>
        <w:gridCol w:w="5744"/>
        <w:gridCol w:w="992"/>
        <w:gridCol w:w="1668"/>
      </w:tblGrid>
      <w:tr w:rsidR="00526173" w:rsidTr="00697674">
        <w:trPr>
          <w:trHeight w:val="48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</w:t>
            </w:r>
          </w:p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punktów</w:t>
            </w:r>
          </w:p>
        </w:tc>
      </w:tr>
      <w:tr w:rsidR="00526173" w:rsidTr="00697674">
        <w:trPr>
          <w:trHeight w:val="413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35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 pkt</w:t>
            </w:r>
          </w:p>
        </w:tc>
      </w:tr>
      <w:tr w:rsidR="00526173" w:rsidTr="00697674">
        <w:trPr>
          <w:trHeight w:val="411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 pkt</w:t>
            </w:r>
          </w:p>
        </w:tc>
      </w:tr>
      <w:tr w:rsidR="00526173" w:rsidTr="00697674">
        <w:trPr>
          <w:trHeight w:val="411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37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ind w:left="131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 pkt</w:t>
            </w:r>
          </w:p>
        </w:tc>
      </w:tr>
      <w:tr w:rsidR="00526173" w:rsidTr="00697674">
        <w:trPr>
          <w:trHeight w:val="48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38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22 pkt</w:t>
            </w:r>
          </w:p>
        </w:tc>
      </w:tr>
      <w:tr w:rsidR="00526173" w:rsidTr="00697674">
        <w:trPr>
          <w:trHeight w:val="48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39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 pkt</w:t>
            </w:r>
          </w:p>
        </w:tc>
      </w:tr>
      <w:tr w:rsidR="00526173" w:rsidTr="00697674">
        <w:trPr>
          <w:trHeight w:val="341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pkt</w:t>
            </w:r>
          </w:p>
        </w:tc>
      </w:tr>
      <w:tr w:rsidR="00526173" w:rsidTr="00697674">
        <w:trPr>
          <w:trHeight w:val="404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 pkt</w:t>
            </w: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42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 pkt</w:t>
            </w:r>
          </w:p>
        </w:tc>
      </w:tr>
      <w:tr w:rsidR="00526173" w:rsidTr="00697674">
        <w:trPr>
          <w:trHeight w:val="469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43</w:t>
            </w:r>
          </w:p>
        </w:tc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ind w:left="131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173" w:rsidRDefault="00526173" w:rsidP="0069767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pkt</w:t>
            </w:r>
          </w:p>
        </w:tc>
      </w:tr>
    </w:tbl>
    <w:p w:rsidR="00526173" w:rsidRDefault="00526173" w:rsidP="00526173">
      <w:pPr>
        <w:ind w:left="60"/>
        <w:jc w:val="both"/>
        <w:rPr>
          <w:rFonts w:ascii="Tahoma" w:hAnsi="Tahoma"/>
          <w:color w:val="000000" w:themeColor="text1"/>
          <w:sz w:val="18"/>
          <w:szCs w:val="18"/>
        </w:rPr>
      </w:pPr>
    </w:p>
    <w:p w:rsidR="00526173" w:rsidRPr="00BD1C67" w:rsidRDefault="00526173" w:rsidP="00526173">
      <w:pPr>
        <w:ind w:left="60"/>
        <w:jc w:val="both"/>
        <w:rPr>
          <w:rFonts w:ascii="Tahoma" w:hAnsi="Tahoma"/>
          <w:color w:val="000000" w:themeColor="text1"/>
          <w:sz w:val="18"/>
          <w:szCs w:val="18"/>
        </w:rPr>
      </w:pPr>
      <w:bookmarkStart w:id="0" w:name="_Hlk38227707"/>
      <w:r w:rsidRPr="00BD1C67">
        <w:rPr>
          <w:rFonts w:ascii="Tahoma" w:hAnsi="Tahoma"/>
          <w:color w:val="000000" w:themeColor="text1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 i Wykonawca w takim przypadku nie otrzyma punktów za tą klauzulę.</w:t>
      </w:r>
    </w:p>
    <w:bookmarkEnd w:id="0"/>
    <w:p w:rsidR="00526173" w:rsidRPr="00DB1A02" w:rsidRDefault="00526173" w:rsidP="00526173">
      <w:pPr>
        <w:ind w:left="60"/>
        <w:jc w:val="both"/>
        <w:rPr>
          <w:rFonts w:ascii="Tahoma" w:hAnsi="Tahoma" w:cs="Tahoma"/>
          <w:sz w:val="18"/>
          <w:szCs w:val="18"/>
        </w:rPr>
      </w:pPr>
      <w:r w:rsidRPr="00DB1A02">
        <w:rPr>
          <w:rFonts w:ascii="Tahoma" w:hAnsi="Tahoma" w:cs="Tahoma"/>
          <w:position w:val="-4"/>
          <w:sz w:val="18"/>
          <w:szCs w:val="18"/>
        </w:rPr>
        <w:t xml:space="preserve">**Wykonawca w ofercie zaakceptuje albo klauzulę nr </w:t>
      </w:r>
      <w:r w:rsidRPr="00DB1A02">
        <w:rPr>
          <w:rFonts w:ascii="Tahoma" w:hAnsi="Tahoma" w:cs="Tahoma"/>
          <w:sz w:val="18"/>
          <w:szCs w:val="18"/>
        </w:rPr>
        <w:t>37 albo klauzulę nr 38. W przypadku zaakceptowania w ofercie zarówno klauzuli nr 37 jak i klauzuli nr 38, Zamawiający uzna, że do oferty ma zastosowanie klauzula korzystniejsza dla Zamawiającego (klauzula nr 38) i za tę klauzulę przyzna punkty w trakcie oceny oferty Wykonawcy.</w:t>
      </w:r>
    </w:p>
    <w:p w:rsidR="00526173" w:rsidRPr="00DB1A02" w:rsidRDefault="00526173" w:rsidP="00526173">
      <w:pPr>
        <w:ind w:left="60"/>
        <w:jc w:val="both"/>
        <w:rPr>
          <w:rFonts w:ascii="Tahoma" w:hAnsi="Tahoma" w:cs="Tahoma"/>
          <w:sz w:val="18"/>
          <w:szCs w:val="18"/>
        </w:rPr>
      </w:pPr>
    </w:p>
    <w:p w:rsidR="00526173" w:rsidRDefault="00526173" w:rsidP="0052617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 – w przypadku dopisków oraz zmian w treści klauzul fakultatywnych, odbiegających od treści zawartej w SIWZ, za zmienioną klauzulę przyznanych będzie 0 punktów. </w:t>
      </w:r>
    </w:p>
    <w:p w:rsidR="00526173" w:rsidRDefault="00526173" w:rsidP="00526173">
      <w:pPr>
        <w:ind w:left="60"/>
        <w:jc w:val="both"/>
        <w:rPr>
          <w:rFonts w:ascii="Tahoma" w:hAnsi="Tahoma"/>
          <w:color w:val="000000" w:themeColor="text1"/>
          <w:sz w:val="18"/>
          <w:szCs w:val="18"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spacing w:line="360" w:lineRule="auto"/>
        <w:ind w:left="62"/>
        <w:jc w:val="both"/>
        <w:rPr>
          <w:rFonts w:ascii="Tahoma" w:hAnsi="Tahoma"/>
          <w:b/>
        </w:rPr>
      </w:pPr>
      <w:r>
        <w:rPr>
          <w:rFonts w:ascii="Tahoma" w:hAnsi="Tahoma"/>
          <w:b/>
          <w:position w:val="-4"/>
        </w:rPr>
        <w:t>III. Oferujemy następujące postanowienia dodatkowe do oferty dotyczące zwiększenia limitów: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566"/>
        <w:gridCol w:w="4964"/>
        <w:gridCol w:w="2693"/>
        <w:gridCol w:w="1700"/>
      </w:tblGrid>
      <w:tr w:rsidR="00526173" w:rsidTr="00697674">
        <w:tc>
          <w:tcPr>
            <w:tcW w:w="566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3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26173" w:rsidTr="00697674">
        <w:tc>
          <w:tcPr>
            <w:tcW w:w="566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100%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100%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zalaniowa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100%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100%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100%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100%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SG o 25%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SG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 w:val="restart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3" w:type="dxa"/>
            <w:vMerge w:val="restart"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Zwiększenie limitu odpowiedzialności w ubezpieczeniu odpowiedzialności cywilnej zarządcy drogi </w:t>
            </w: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25%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26173" w:rsidTr="00697674">
        <w:tc>
          <w:tcPr>
            <w:tcW w:w="566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3" w:type="dxa"/>
            <w:vMerge/>
          </w:tcPr>
          <w:p w:rsidR="00526173" w:rsidRDefault="00526173" w:rsidP="00697674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6173" w:rsidRDefault="00526173" w:rsidP="00697674">
            <w:pPr>
              <w:pStyle w:val="Akapitzlist"/>
              <w:ind w:left="0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Zwiększenie limitu o 50%</w:t>
            </w:r>
          </w:p>
        </w:tc>
        <w:tc>
          <w:tcPr>
            <w:tcW w:w="1700" w:type="dxa"/>
            <w:vAlign w:val="center"/>
          </w:tcPr>
          <w:p w:rsidR="00526173" w:rsidRDefault="00526173" w:rsidP="00697674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26173" w:rsidRPr="00DB1A02" w:rsidRDefault="00526173" w:rsidP="00526173">
      <w:pPr>
        <w:jc w:val="both"/>
        <w:rPr>
          <w:rFonts w:ascii="Tahoma" w:hAnsi="Tahoma"/>
          <w:b/>
          <w:bCs/>
          <w:sz w:val="18"/>
          <w:szCs w:val="18"/>
        </w:rPr>
      </w:pPr>
      <w:r w:rsidRPr="00DB1A02">
        <w:rPr>
          <w:rFonts w:ascii="Tahoma" w:hAnsi="Tahoma"/>
          <w:b/>
          <w:bCs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526173" w:rsidRDefault="00526173" w:rsidP="00526173">
      <w:pPr>
        <w:ind w:left="60"/>
        <w:jc w:val="both"/>
        <w:rPr>
          <w:rFonts w:ascii="Tahoma" w:hAnsi="Tahoma"/>
          <w:b/>
        </w:rPr>
      </w:pPr>
    </w:p>
    <w:p w:rsidR="00526173" w:rsidRDefault="00526173" w:rsidP="00526173">
      <w:pPr>
        <w:ind w:left="709" w:hanging="360"/>
        <w:rPr>
          <w:rFonts w:ascii="Tahoma" w:hAnsi="Tahoma" w:cs="Tahoma"/>
        </w:rPr>
      </w:pPr>
      <w:r>
        <w:rPr>
          <w:rFonts w:ascii="Tahoma" w:hAnsi="Tahoma" w:cs="Tahoma"/>
        </w:rPr>
        <w:t>Oświadczenie dotyczące Zamówienia:</w:t>
      </w:r>
    </w:p>
    <w:p w:rsidR="00526173" w:rsidRDefault="00526173" w:rsidP="0052617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526173" w:rsidRDefault="00526173" w:rsidP="00526173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526173" w:rsidRDefault="00526173" w:rsidP="00526173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526173" w:rsidRDefault="00526173" w:rsidP="00526173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526173" w:rsidRPr="000973D8" w:rsidRDefault="00526173" w:rsidP="00526173">
      <w:pPr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Oświadczamy, że zawarte w warunkach umownych SIWZ zaproponowane przez Zamawiającego warunki </w:t>
      </w:r>
      <w:r w:rsidRPr="000973D8">
        <w:rPr>
          <w:rFonts w:ascii="Tahoma" w:hAnsi="Tahoma" w:cs="Tahoma"/>
          <w:color w:val="000000" w:themeColor="text1"/>
        </w:rPr>
        <w:t>płatności zostały przez naszą firmę zaakceptowane.</w:t>
      </w:r>
    </w:p>
    <w:p w:rsidR="00526173" w:rsidRPr="000973D8" w:rsidRDefault="00526173" w:rsidP="00526173">
      <w:pPr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0973D8">
        <w:rPr>
          <w:rFonts w:ascii="Tahoma" w:hAnsi="Tahoma" w:cs="Tahoma"/>
          <w:color w:val="000000" w:themeColor="text1"/>
        </w:rPr>
        <w:t xml:space="preserve">Oświadczamy, że </w:t>
      </w:r>
      <w:r w:rsidRPr="000973D8">
        <w:rPr>
          <w:rFonts w:ascii="Tahoma" w:hAnsi="Tahoma" w:cs="Tahoma"/>
          <w:color w:val="000000" w:themeColor="text1"/>
          <w:sz w:val="18"/>
          <w:szCs w:val="18"/>
        </w:rPr>
        <w:t xml:space="preserve">usługa ubezpieczenia zwolniona jest z podatku VAT zgodnie z art. 43 ust. 1 pkt 37 Ustawy z dnia 11 marca 2004 o podatku od towarów i usług (Dz.U. z 2018 r. poz. 2174 z </w:t>
      </w:r>
      <w:proofErr w:type="spellStart"/>
      <w:r w:rsidRPr="000973D8">
        <w:rPr>
          <w:rFonts w:ascii="Tahoma" w:hAnsi="Tahoma" w:cs="Tahoma"/>
          <w:color w:val="000000" w:themeColor="text1"/>
          <w:sz w:val="18"/>
          <w:szCs w:val="18"/>
        </w:rPr>
        <w:t>późn</w:t>
      </w:r>
      <w:proofErr w:type="spellEnd"/>
      <w:r w:rsidRPr="000973D8">
        <w:rPr>
          <w:rFonts w:ascii="Tahoma" w:hAnsi="Tahoma" w:cs="Tahoma"/>
          <w:color w:val="000000" w:themeColor="text1"/>
          <w:sz w:val="18"/>
          <w:szCs w:val="18"/>
        </w:rPr>
        <w:t>. zm.).</w:t>
      </w:r>
    </w:p>
    <w:p w:rsidR="00526173" w:rsidRDefault="00526173" w:rsidP="00526173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Oświadczamy, że zapoznaliśmy się i akceptujemy istotne postanowienia umowy określone w SIWZ</w:t>
      </w:r>
      <w:r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526173" w:rsidRDefault="00526173" w:rsidP="00526173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>
        <w:rPr>
          <w:rFonts w:ascii="Tahoma" w:hAnsi="Tahoma" w:cs="Tahoma"/>
          <w:i/>
        </w:rPr>
        <w:t>(wypełniają Wykonawcy, którzy deklarują taki zamiar)</w:t>
      </w:r>
      <w:r>
        <w:rPr>
          <w:rFonts w:ascii="Tahoma" w:hAnsi="Tahoma" w:cs="Tahoma"/>
        </w:rPr>
        <w:t>:</w:t>
      </w:r>
    </w:p>
    <w:p w:rsidR="00526173" w:rsidRDefault="00526173" w:rsidP="00526173">
      <w:pPr>
        <w:ind w:left="709" w:hanging="349"/>
        <w:jc w:val="both"/>
        <w:rPr>
          <w:rFonts w:ascii="Tahoma" w:hAnsi="Tahoma" w:cs="Tahoma"/>
        </w:rPr>
      </w:pPr>
    </w:p>
    <w:tbl>
      <w:tblPr>
        <w:tblW w:w="9424" w:type="dxa"/>
        <w:jc w:val="center"/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526173" w:rsidTr="00697674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 podwykonawcy</w:t>
            </w:r>
          </w:p>
        </w:tc>
      </w:tr>
      <w:tr w:rsidR="00526173" w:rsidTr="00697674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</w:p>
        </w:tc>
      </w:tr>
      <w:tr w:rsidR="00526173" w:rsidTr="00697674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26173" w:rsidRDefault="00526173" w:rsidP="00526173">
      <w:pPr>
        <w:jc w:val="both"/>
        <w:rPr>
          <w:rFonts w:ascii="Tahoma" w:hAnsi="Tahoma" w:cs="Tahoma"/>
        </w:rPr>
      </w:pPr>
    </w:p>
    <w:p w:rsidR="00526173" w:rsidRDefault="00526173" w:rsidP="00526173">
      <w:pPr>
        <w:numPr>
          <w:ilvl w:val="0"/>
          <w:numId w:val="2"/>
        </w:numPr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>).</w:t>
      </w:r>
    </w:p>
    <w:p w:rsidR="00526173" w:rsidRPr="006E5ABE" w:rsidRDefault="00526173" w:rsidP="00526173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6E5ABE">
        <w:rPr>
          <w:rStyle w:val="Domylnaczcionkaakapitu1"/>
          <w:rFonts w:ascii="Tahoma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postępowaniu.**</w:t>
      </w:r>
    </w:p>
    <w:p w:rsidR="00526173" w:rsidRPr="006E5ABE" w:rsidRDefault="00526173" w:rsidP="00526173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6E5ABE">
        <w:rPr>
          <w:rFonts w:ascii="Tahoma" w:hAnsi="Tahoma" w:cs="Tahoma"/>
          <w:b/>
          <w:sz w:val="20"/>
          <w:szCs w:val="20"/>
        </w:rPr>
        <w:t>Uwaga!</w:t>
      </w:r>
    </w:p>
    <w:p w:rsidR="00526173" w:rsidRPr="00BD1C67" w:rsidRDefault="00526173" w:rsidP="00526173">
      <w:pPr>
        <w:pStyle w:val="Akapitzlist"/>
        <w:jc w:val="both"/>
        <w:rPr>
          <w:rStyle w:val="Domylnaczcionkaakapitu1"/>
          <w:rFonts w:ascii="Tahoma" w:hAnsi="Tahoma" w:cs="Tahoma"/>
          <w:b/>
          <w:color w:val="000000" w:themeColor="text1"/>
          <w:sz w:val="20"/>
          <w:szCs w:val="20"/>
        </w:rPr>
      </w:pPr>
      <w:r w:rsidRPr="006E5ABE">
        <w:rPr>
          <w:rStyle w:val="Domylnaczcionkaakapitu1"/>
          <w:rFonts w:ascii="Tahoma" w:hAnsi="Tahoma" w:cs="Tahoma"/>
          <w:b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</w:t>
      </w:r>
      <w:r w:rsidRPr="00BD1C67">
        <w:rPr>
          <w:rStyle w:val="Domylnaczcionkaakapitu1"/>
          <w:rFonts w:ascii="Tahoma" w:hAnsi="Tahoma" w:cs="Tahoma"/>
          <w:b/>
          <w:color w:val="000000" w:themeColor="text1"/>
          <w:sz w:val="20"/>
          <w:szCs w:val="20"/>
        </w:rPr>
        <w:t>lub art. 14 ust. 5 RODO treści oświadczenia z punktu 10 wykonawca nie składa  i go wykreśla.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11.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Wykonawca oświadcza, że: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a)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przetwarza dane osobowe zawarte w ofercie oraz wskazane w uzupełnieniach i wyjaśnieniach do oferty, zgodnie z art. 6 i 9 RODO,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b)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poinformowano osoby, których dane dotyczą o przekazaniu ich danych Zamawiającemu, o celu przekazania oraz o innych informacjach dotyczących Zamawiającego wynikających z art. 14 RODO,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c)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8.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Wykonawca oświadcza, że spełnia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a)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zapewnia, że stosuje środki techniczne i organizacyjne zapewniające bezpieczeństwo przekazanych danych osobowych,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b)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zapewnia, że dostęp do powierzonych danych osobowych mają jedynie osoby upoważnione, którym wykonawca polecił przetwarzanie danych osobowych,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c)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zapewnia, że dostęp do pomieszczeń, w których przetwarzane są powierzone dane, mają jedynie osoby do tego upoważnione oraz, że dostęp do tych pomieszczeń jest nadzorowany,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d)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zapewnia, że systemy, aplikacje i sprzęt informatyczny wykorzystywany do przetwarzania powierzonych danych są zabezpieczone przed nieautoryzowanym ujawnieniem lub utratą powierzonych danych,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e)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zapewnia, że połączenie zdalnego dostępu do systemu informatycznego zabezpieczone jest szyfrowanym kanałem,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f)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zapewnia, że będzie współpracować z administratorem w celu realizacji praw osób, których dotyczą powierzone dane osobowe, wskazanych w Rozdziale III przytoczonego Rozporządzenia,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g)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526173" w:rsidRPr="00BD1C67" w:rsidRDefault="00526173" w:rsidP="00526173">
      <w:pPr>
        <w:pStyle w:val="Akapitzli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D1C67">
        <w:rPr>
          <w:rFonts w:ascii="Tahoma" w:hAnsi="Tahoma" w:cs="Tahoma"/>
          <w:color w:val="000000" w:themeColor="text1"/>
          <w:sz w:val="20"/>
          <w:szCs w:val="20"/>
        </w:rPr>
        <w:t>12.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ab/>
        <w:t>Wykonawca oświadcza, że prowadzi dokumentację potwierdzającą wykonywanie powyższych czynności oraz, że na żądanie administratora udostępni wskazaną dokumentację.</w:t>
      </w:r>
    </w:p>
    <w:p w:rsidR="00526173" w:rsidRDefault="00526173" w:rsidP="0052617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 Oświadczamy, że do poszczególnych ubezpieczeń stanowiących przedmiot zamówienia będą miały zastosowanie wymienione poniżej warunki ubezpieczenia:</w:t>
      </w:r>
    </w:p>
    <w:tbl>
      <w:tblPr>
        <w:tblW w:w="9363" w:type="dxa"/>
        <w:tblInd w:w="720" w:type="dxa"/>
        <w:tblLook w:val="04A0" w:firstRow="1" w:lastRow="0" w:firstColumn="1" w:lastColumn="0" w:noHBand="0" w:noVBand="1"/>
      </w:tblPr>
      <w:tblGrid>
        <w:gridCol w:w="4654"/>
        <w:gridCol w:w="4709"/>
      </w:tblGrid>
      <w:tr w:rsidR="00526173" w:rsidTr="0069767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Ryzyko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526173" w:rsidTr="0069767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OWU …..</w:t>
            </w:r>
          </w:p>
        </w:tc>
      </w:tr>
      <w:tr w:rsidR="00526173" w:rsidTr="0069767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r>
              <w:rPr>
                <w:rFonts w:ascii="Tahoma" w:hAnsi="Tahoma" w:cs="Tahoma"/>
              </w:rPr>
              <w:t>OWU …..</w:t>
            </w:r>
          </w:p>
        </w:tc>
      </w:tr>
      <w:tr w:rsidR="00526173" w:rsidTr="0069767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r>
              <w:rPr>
                <w:rFonts w:ascii="Tahoma" w:hAnsi="Tahoma" w:cs="Tahoma"/>
              </w:rPr>
              <w:t>OWU …..</w:t>
            </w:r>
          </w:p>
        </w:tc>
      </w:tr>
      <w:tr w:rsidR="00526173" w:rsidTr="00697674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173" w:rsidRDefault="00526173" w:rsidP="00697674">
            <w:pPr>
              <w:rPr>
                <w:rFonts w:ascii="Tahoma" w:hAnsi="Tahoma" w:cs="Tahoma"/>
              </w:rPr>
            </w:pPr>
          </w:p>
        </w:tc>
      </w:tr>
    </w:tbl>
    <w:p w:rsidR="00526173" w:rsidRPr="00BD1C67" w:rsidRDefault="00526173" w:rsidP="00526173">
      <w:pPr>
        <w:pStyle w:val="Akapitzlist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BD1C6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14. Oświadczam/my, iż w przypadku wyboru naszej oferty jako najkorzystniejszej, przekażemy Zamawiającemu najpóźniej </w:t>
      </w:r>
      <w:r w:rsidRPr="00BD1C67">
        <w:rPr>
          <w:rFonts w:ascii="Tahoma" w:hAnsi="Tahoma" w:cs="Tahoma"/>
          <w:color w:val="000000" w:themeColor="text1"/>
          <w:sz w:val="20"/>
          <w:szCs w:val="20"/>
        </w:rPr>
        <w:t>przed zawarciem umowy o udzielenie zamówienia imiona i nazwiska wraz z danymi kontaktowymi:</w:t>
      </w:r>
    </w:p>
    <w:p w:rsidR="00526173" w:rsidRPr="00B86860" w:rsidRDefault="00526173" w:rsidP="00526173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86860">
        <w:rPr>
          <w:rFonts w:ascii="Tahoma" w:hAnsi="Tahoma" w:cs="Tahoma"/>
          <w:color w:val="000000" w:themeColor="text1"/>
          <w:sz w:val="20"/>
          <w:szCs w:val="20"/>
        </w:rPr>
        <w:t>- osoby/osób wyznaczonej/</w:t>
      </w:r>
      <w:proofErr w:type="spellStart"/>
      <w:r w:rsidRPr="00B86860">
        <w:rPr>
          <w:rFonts w:ascii="Tahoma" w:hAnsi="Tahoma" w:cs="Tahoma"/>
          <w:color w:val="000000" w:themeColor="text1"/>
          <w:sz w:val="20"/>
          <w:szCs w:val="20"/>
        </w:rPr>
        <w:t>ych</w:t>
      </w:r>
      <w:proofErr w:type="spellEnd"/>
      <w:r w:rsidRPr="00B86860">
        <w:rPr>
          <w:rFonts w:ascii="Tahoma" w:hAnsi="Tahoma" w:cs="Tahoma"/>
          <w:color w:val="000000" w:themeColor="text1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zaświadczeń),</w:t>
      </w:r>
    </w:p>
    <w:p w:rsidR="00526173" w:rsidRPr="00B86860" w:rsidRDefault="00526173" w:rsidP="00526173">
      <w:pPr>
        <w:ind w:left="720"/>
        <w:jc w:val="both"/>
        <w:rPr>
          <w:rFonts w:ascii="Tahoma" w:hAnsi="Tahoma" w:cs="Tahoma"/>
          <w:color w:val="000000" w:themeColor="text1"/>
        </w:rPr>
      </w:pPr>
      <w:r w:rsidRPr="00B86860">
        <w:rPr>
          <w:rFonts w:ascii="Tahoma" w:hAnsi="Tahoma" w:cs="Tahoma"/>
          <w:color w:val="000000" w:themeColor="text1"/>
        </w:rPr>
        <w:t>- osoby/osób wyznaczonej/</w:t>
      </w:r>
      <w:proofErr w:type="spellStart"/>
      <w:r w:rsidRPr="00B86860">
        <w:rPr>
          <w:rFonts w:ascii="Tahoma" w:hAnsi="Tahoma" w:cs="Tahoma"/>
          <w:color w:val="000000" w:themeColor="text1"/>
        </w:rPr>
        <w:t>ych</w:t>
      </w:r>
      <w:proofErr w:type="spellEnd"/>
      <w:r w:rsidRPr="00B86860">
        <w:rPr>
          <w:rFonts w:ascii="Tahoma" w:hAnsi="Tahoma" w:cs="Tahoma"/>
          <w:color w:val="000000" w:themeColor="text1"/>
        </w:rPr>
        <w:t xml:space="preserve"> przez Wykonawcę do współpracy z Zamawiającym w okresie realizacji Zamówienia w zakresie nadzoru procesu obsługi i likwidacji szkód.</w:t>
      </w:r>
    </w:p>
    <w:p w:rsidR="00526173" w:rsidRDefault="00526173" w:rsidP="0052617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 Oświadczamy, że Wykonawca którego reprezentujemy jest:</w:t>
      </w:r>
    </w:p>
    <w:p w:rsidR="00526173" w:rsidRDefault="00526173" w:rsidP="00526173">
      <w:pPr>
        <w:ind w:left="709"/>
        <w:jc w:val="both"/>
        <w:rPr>
          <w:rFonts w:ascii="Tahoma" w:hAnsi="Tahoma" w:cs="Tahoma"/>
        </w:rPr>
      </w:pPr>
      <w:sdt>
        <w:sdtPr>
          <w:id w:val="1358426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526173" w:rsidRDefault="00526173" w:rsidP="00526173">
      <w:pPr>
        <w:ind w:left="709"/>
        <w:jc w:val="both"/>
        <w:rPr>
          <w:rFonts w:ascii="Tahoma" w:hAnsi="Tahoma" w:cs="Tahoma"/>
        </w:rPr>
      </w:pPr>
      <w:sdt>
        <w:sdtPr>
          <w:id w:val="-6379597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526173" w:rsidRDefault="00526173" w:rsidP="00526173">
      <w:pPr>
        <w:ind w:left="709"/>
        <w:jc w:val="both"/>
        <w:rPr>
          <w:rFonts w:ascii="Tahoma" w:hAnsi="Tahoma" w:cs="Tahoma"/>
        </w:rPr>
      </w:pPr>
      <w:sdt>
        <w:sdtPr>
          <w:id w:val="-20768111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 dużym przedsiębiorstwem</w:t>
      </w:r>
    </w:p>
    <w:p w:rsidR="00526173" w:rsidRPr="00ED15A4" w:rsidRDefault="00526173" w:rsidP="00526173">
      <w:pPr>
        <w:jc w:val="both"/>
        <w:rPr>
          <w:rFonts w:ascii="Tahoma" w:hAnsi="Tahoma" w:cs="Tahoma"/>
          <w:color w:val="FF0000"/>
        </w:rPr>
      </w:pPr>
    </w:p>
    <w:p w:rsidR="00526173" w:rsidRPr="00ED15A4" w:rsidRDefault="00526173" w:rsidP="00526173">
      <w:pPr>
        <w:ind w:left="60"/>
        <w:jc w:val="both"/>
        <w:rPr>
          <w:rFonts w:ascii="Tahoma" w:hAnsi="Tahoma" w:cs="Tahoma"/>
          <w:color w:val="FF0000"/>
        </w:rPr>
      </w:pPr>
    </w:p>
    <w:p w:rsidR="00526173" w:rsidRDefault="00526173" w:rsidP="00526173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26173" w:rsidRDefault="00526173" w:rsidP="00526173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     </w:t>
      </w:r>
    </w:p>
    <w:p w:rsidR="00526173" w:rsidRDefault="00526173" w:rsidP="00526173">
      <w:pPr>
        <w:ind w:left="5672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F47F31" w:rsidRPr="00526173" w:rsidRDefault="00526173" w:rsidP="00526173">
      <w:pPr>
        <w:ind w:left="5387" w:right="567"/>
        <w:jc w:val="center"/>
      </w:pPr>
      <w:r>
        <w:rPr>
          <w:rFonts w:ascii="Tahoma" w:hAnsi="Tahoma" w:cs="Tahoma"/>
        </w:rPr>
        <w:t xml:space="preserve">(czytelny podpis lub w przypadku parafki  </w:t>
      </w:r>
      <w:bookmarkStart w:id="1" w:name="_GoBack"/>
      <w:bookmarkEnd w:id="1"/>
      <w:r>
        <w:rPr>
          <w:rFonts w:ascii="Tahoma" w:hAnsi="Tahoma" w:cs="Tahoma"/>
        </w:rPr>
        <w:t>pieczątka imienna upełnomo</w:t>
      </w:r>
      <w:r>
        <w:rPr>
          <w:rFonts w:ascii="Tahoma" w:hAnsi="Tahoma" w:cs="Tahoma"/>
        </w:rPr>
        <w:t>cnionego/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przedstawiciela/li</w:t>
      </w:r>
    </w:p>
    <w:sectPr w:rsidR="00F47F31" w:rsidRPr="00526173" w:rsidSect="00526173">
      <w:headerReference w:type="default" r:id="rId5"/>
      <w:headerReference w:type="first" r:id="rId6"/>
      <w:pgSz w:w="11906" w:h="16838"/>
      <w:pgMar w:top="1077" w:right="907" w:bottom="1134" w:left="907" w:header="709" w:footer="0" w:gutter="0"/>
      <w:cols w:space="708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86878"/>
      <w:docPartObj>
        <w:docPartGallery w:val="Page Numbers (Top of Page)"/>
        <w:docPartUnique/>
      </w:docPartObj>
    </w:sdtPr>
    <w:sdtEndPr/>
    <w:sdtContent>
      <w:p w:rsidR="00B758AB" w:rsidRDefault="00526173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4F465E65" wp14:editId="59A03B68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0" b="0"/>
              <wp:wrapNone/>
              <wp:docPr id="7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 w:cs="Tahoma"/>
            <w:sz w:val="18"/>
            <w:szCs w:val="18"/>
          </w:rPr>
          <w:t xml:space="preserve">Strona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z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B758AB" w:rsidRDefault="00526173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7313E224" wp14:editId="5CD7655B">
              <wp:extent cx="6120130" cy="1333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1B2B9652" id="Prostokąt 2" o:spid="_x0000_s1026" style="width:481.9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" fillcolor="#aca899" stroked="f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AB" w:rsidRDefault="00526173">
    <w:pPr>
      <w:pStyle w:val="Nagwek"/>
      <w:rPr>
        <w:rFonts w:ascii="Verdana" w:hAnsi="Verdana"/>
        <w:sz w:val="15"/>
        <w:szCs w:val="15"/>
      </w:rPr>
    </w:pPr>
    <w:r>
      <w:rPr>
        <w:rFonts w:ascii="Verdana" w:hAnsi="Verdana"/>
        <w:noProof/>
        <w:sz w:val="15"/>
        <w:szCs w:val="15"/>
      </w:rPr>
      <w:drawing>
        <wp:anchor distT="0" distB="0" distL="0" distR="0" simplePos="0" relativeHeight="251660288" behindDoc="1" locked="0" layoutInCell="1" allowOverlap="1" wp14:anchorId="4E582BA6" wp14:editId="278F661C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0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58AB" w:rsidRDefault="00526173">
    <w:pPr>
      <w:pStyle w:val="Nagwek"/>
      <w:rPr>
        <w:rFonts w:ascii="Verdana" w:hAnsi="Verdana"/>
        <w:sz w:val="15"/>
        <w:szCs w:val="15"/>
      </w:rPr>
    </w:pPr>
  </w:p>
  <w:p w:rsidR="00B758AB" w:rsidRDefault="00526173">
    <w:pPr>
      <w:pStyle w:val="Nagwek"/>
      <w:rPr>
        <w:rFonts w:ascii="Verdana" w:hAnsi="Verdana"/>
        <w:sz w:val="15"/>
        <w:szCs w:val="15"/>
      </w:rPr>
    </w:pPr>
    <w:r>
      <w:rPr>
        <w:noProof/>
      </w:rPr>
      <mc:AlternateContent>
        <mc:Choice Requires="wps">
          <w:drawing>
            <wp:inline distT="0" distB="0" distL="0" distR="0" wp14:anchorId="434CFBBD" wp14:editId="7B626B02">
              <wp:extent cx="6120130" cy="13335"/>
              <wp:effectExtent l="0" t="0" r="0" b="0"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6580B5A0" id="Prostokąt 4" o:spid="_x0000_s1026" style="width:481.9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C012D"/>
    <w:multiLevelType w:val="multilevel"/>
    <w:tmpl w:val="9B50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C1877"/>
    <w:multiLevelType w:val="multilevel"/>
    <w:tmpl w:val="93B278D4"/>
    <w:lvl w:ilvl="0">
      <w:start w:val="1"/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73"/>
    <w:rsid w:val="00526173"/>
    <w:rsid w:val="00F4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8EA8-FF1E-44E6-B59C-9216CCF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173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26173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Pogrubienie">
    <w:name w:val="Strong"/>
    <w:uiPriority w:val="22"/>
    <w:qFormat/>
    <w:rsid w:val="00526173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526173"/>
    <w:rPr>
      <w:rFonts w:eastAsia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26173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26173"/>
    <w:rPr>
      <w:b/>
      <w:sz w:val="28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526173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261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6173"/>
    <w:pPr>
      <w:ind w:left="284"/>
      <w:jc w:val="both"/>
    </w:pPr>
    <w:rPr>
      <w:rFonts w:asciiTheme="minorHAnsi" w:eastAsiaTheme="minorHAnsi" w:hAnsiTheme="minorHAnsi" w:cstheme="minorBidi"/>
      <w:b/>
      <w:sz w:val="28"/>
      <w:szCs w:val="22"/>
      <w:u w:val="single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261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26173"/>
    <w:pPr>
      <w:ind w:left="720"/>
    </w:pPr>
    <w:rPr>
      <w:rFonts w:asciiTheme="minorHAnsi" w:eastAsia="Calibr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rsid w:val="0052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52617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6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61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Frąckiewicz</dc:creator>
  <cp:keywords/>
  <dc:description/>
  <cp:lastModifiedBy>Jakub Frąckiewicz</cp:lastModifiedBy>
  <cp:revision>1</cp:revision>
  <dcterms:created xsi:type="dcterms:W3CDTF">2020-04-24T07:58:00Z</dcterms:created>
  <dcterms:modified xsi:type="dcterms:W3CDTF">2020-04-24T08:01:00Z</dcterms:modified>
</cp:coreProperties>
</file>